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Helvetica" w:cs="Helvetica" w:eastAsia="Helvetica" w:hAnsi="Helvetica"/>
          <w:color w:val="B8C2CE"/>
          <w:sz w:val="32"/>
          <w:szCs w:val="32"/>
        </w:rPr>
        <w:t xml:space="preserve">lateralworks FTTM methodology  ·  PDT program reviews</w:t>
      </w:r>
    </w:p>
    <w:p>
      <w:pPr>
        <w:pBdr>
          <w:bottom w:val="single" w:color="000000" w:sz="16" w:space="4"/>
        </w:pBdr>
        <w:spacing w:after="60"/>
      </w:pPr>
      <w:r>
        <w:rPr>
          <w:rFonts w:ascii="Helvetica" w:cs="Helvetica" w:eastAsia="Helvetica" w:hAnsi="Helvetica"/>
          <w:b/>
          <w:bCs/>
          <w:color w:val="3D434A"/>
          <w:sz w:val="44"/>
          <w:szCs w:val="44"/>
        </w:rPr>
        <w:t xml:space="preserve">Monthly project deep-dive review</w:t>
      </w:r>
    </w:p>
    <w:p>
      <w:pPr>
        <w:spacing w:after="40" w:before="120"/>
      </w:pPr>
      <w:r>
        <w:rPr>
          <w:rFonts w:ascii="Helvetica" w:cs="Helvetica" w:eastAsia="Helvetica" w:hAnsi="Helvetica"/>
          <w:color w:val="8899AA"/>
          <w:sz w:val="18"/>
          <w:szCs w:val="18"/>
        </w:rPr>
        <w:t xml:space="preserve">Template and operating guide for Product Delivery Team (PDT) project deep-dive reviews</w:t>
      </w:r>
    </w:p>
    <w:p>
      <w:pPr>
        <w:spacing w:after="240"/>
      </w:pPr>
      <w:r>
        <w:rPr>
          <w:rFonts w:ascii="Helvetica" w:cs="Helvetica" w:eastAsia="Helvetica" w:hAnsi="Helvetica"/>
          <w:color w:val="8899AA"/>
          <w:sz w:val="18"/>
          <w:szCs w:val="18"/>
        </w:rPr>
        <w:t xml:space="preserve">Owner: [Program direction] and [Executive sponsor]  |  Version: Template v1  |  July 2026</w:t>
      </w:r>
    </w:p>
    <w:p>
      <w:pPr>
        <w:pStyle w:val="Heading1"/>
        <w:keepNext/>
        <w:spacing w:after="100" w:before="280"/>
      </w:pPr>
      <w:r>
        <w:rPr>
          <w:rFonts w:ascii="Helvetica" w:cs="Helvetica" w:eastAsia="Helvetica" w:hAnsi="Helvetica"/>
          <w:b/>
          <w:bCs/>
          <w:color w:val="3D434A"/>
          <w:sz w:val="24"/>
          <w:szCs w:val="24"/>
        </w:rPr>
        <w:t xml:space="preserve">1. Purpose</w:t>
      </w:r>
    </w:p>
    <w:p>
      <w:pPr>
        <w:spacing w:after="140"/>
        <w:jc w:val="both"/>
      </w:pPr>
      <w:r>
        <w:rPr>
          <w:rFonts w:ascii="Helvetica" w:cs="Helvetica" w:eastAsia="Helvetica" w:hAnsi="Helvetica"/>
          <w:color w:val="2C3036"/>
          <w:sz w:val="20"/>
          <w:szCs w:val="20"/>
        </w:rPr>
        <w:t xml:space="preserve">The monthly deep-dive is a working session that shows the real status of each program: where every key milestone stands, what decisions the team has made, what they are doing to pull in, and where they need help. Schedules, dates, and trends come from live data, and the session runs on the work already going into the PDT process. No slides are built for this meeting.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F08C00" w:sz="20"/>
              <w:bottom w:val="none"/>
              <w:right w:val="none"/>
            </w:tcBorders>
            <w:shd w:fill="FDF1E1" w:val="clear"/>
            <w:tcMar>
              <w:top w:type="dxa" w:w="160"/>
              <w:left w:type="dxa" w:w="200"/>
              <w:bottom w:type="dxa" w:w="160"/>
              <w:right w:type="dxa" w:w="200"/>
            </w:tcMar>
          </w:tcPr>
          <w:p>
            <w:r>
              <w:rPr>
                <w:rFonts w:ascii="Helvetica" w:cs="Helvetica" w:eastAsia="Helvetica" w:hAnsi="Helvetica"/>
                <w:b/>
                <w:bCs/>
                <w:color w:val="3D434A"/>
                <w:sz w:val="20"/>
                <w:szCs w:val="20"/>
              </w:rPr>
              <w:t xml:space="preserve">This is not a performance review. </w:t>
            </w:r>
            <w:r>
              <w:rPr>
                <w:rFonts w:ascii="Helvetica" w:cs="Helvetica" w:eastAsia="Helvetica" w:hAnsi="Helvetica"/>
                <w:color w:val="3D434A"/>
                <w:sz w:val="20"/>
                <w:szCs w:val="20"/>
              </w:rPr>
              <w:t xml:space="preserve">It is an early warning system and a setting to ask for help. We want to know about a problem before it becomes a crisis. Asking for help early is the behavior this forum exists to reward.</w:t>
            </w:r>
          </w:p>
        </w:tc>
      </w:tr>
    </w:tbl>
    <w:p>
      <w:pPr>
        <w:spacing w:after="120"/>
      </w:pPr>
    </w:p>
    <w:p>
      <w:pPr>
        <w:pStyle w:val="Heading1"/>
        <w:keepNext/>
        <w:pageBreakBefore/>
        <w:spacing w:after="100" w:before="280"/>
      </w:pPr>
      <w:r>
        <w:rPr>
          <w:rFonts w:ascii="Helvetica" w:cs="Helvetica" w:eastAsia="Helvetica" w:hAnsi="Helvetica"/>
          <w:b/>
          <w:bCs/>
          <w:color w:val="3D434A"/>
          <w:sz w:val="24"/>
          <w:szCs w:val="24"/>
        </w:rPr>
        <w:t xml:space="preserve">2. Objectives</w:t>
      </w:r>
    </w:p>
    <w:p>
      <w:pPr>
        <w:pStyle w:val="ListParagraph"/>
        <w:numPr>
          <w:ilvl w:val="0"/>
          <w:numId w:val="2"/>
        </w:numPr>
        <w:spacing w:after="100"/>
      </w:pPr>
      <w:r>
        <w:rPr>
          <w:rFonts w:ascii="Helvetica" w:cs="Helvetica" w:eastAsia="Helvetica" w:hAnsi="Helvetica"/>
          <w:b/>
          <w:bCs/>
          <w:color w:val="3D434A"/>
          <w:sz w:val="20"/>
          <w:szCs w:val="20"/>
        </w:rPr>
        <w:t xml:space="preserve">Report milestone execution status.</w:t>
      </w:r>
      <w:r>
        <w:rPr>
          <w:rFonts w:ascii="Helvetica" w:cs="Helvetica" w:eastAsia="Helvetica" w:hAnsi="Helvetica"/>
          <w:color w:val="2C3036"/>
          <w:sz w:val="20"/>
          <w:szCs w:val="20"/>
        </w:rPr>
        <w:t xml:space="preserve"> Summarize each project's key milestones as completed, pulled in, on track, late, or slipping; show the trend; and state what the team is doing to recover.</w:t>
      </w:r>
    </w:p>
    <w:p>
      <w:pPr>
        <w:pStyle w:val="ListParagraph"/>
        <w:numPr>
          <w:ilvl w:val="0"/>
          <w:numId w:val="2"/>
        </w:numPr>
        <w:spacing w:after="100"/>
      </w:pPr>
      <w:r>
        <w:rPr>
          <w:rFonts w:ascii="Helvetica" w:cs="Helvetica" w:eastAsia="Helvetica" w:hAnsi="Helvetica"/>
          <w:b/>
          <w:bCs/>
          <w:color w:val="3D434A"/>
          <w:sz w:val="20"/>
          <w:szCs w:val="20"/>
        </w:rPr>
        <w:t xml:space="preserve">Communicate critical decisions.</w:t>
      </w:r>
      <w:r>
        <w:rPr>
          <w:rFonts w:ascii="Helvetica" w:cs="Helvetica" w:eastAsia="Helvetica" w:hAnsi="Helvetica"/>
          <w:color w:val="2C3036"/>
          <w:sz w:val="20"/>
          <w:szCs w:val="20"/>
        </w:rPr>
        <w:t xml:space="preserve"> Decisions made within the latitude of the freedom scale are communicated, not submitted for permission.</w:t>
      </w:r>
    </w:p>
    <w:p>
      <w:pPr>
        <w:pStyle w:val="ListParagraph"/>
        <w:numPr>
          <w:ilvl w:val="0"/>
          <w:numId w:val="2"/>
        </w:numPr>
        <w:spacing w:after="100"/>
      </w:pPr>
      <w:r>
        <w:rPr>
          <w:rFonts w:ascii="Helvetica" w:cs="Helvetica" w:eastAsia="Helvetica" w:hAnsi="Helvetica"/>
          <w:b/>
          <w:bCs/>
          <w:color w:val="3D434A"/>
          <w:sz w:val="20"/>
          <w:szCs w:val="20"/>
        </w:rPr>
        <w:t xml:space="preserve">Surface real problems and ask for help.</w:t>
      </w:r>
      <w:r>
        <w:rPr>
          <w:rFonts w:ascii="Helvetica" w:cs="Helvetica" w:eastAsia="Helvetica" w:hAnsi="Helvetica"/>
          <w:color w:val="2C3036"/>
          <w:sz w:val="20"/>
          <w:szCs w:val="20"/>
        </w:rPr>
        <w:t xml:space="preserve"> Show the gap to target and name the specific support needed to pull in or prevent a slip while there is still time to act.</w:t>
      </w:r>
    </w:p>
    <w:p>
      <w:pPr>
        <w:pStyle w:val="ListParagraph"/>
        <w:numPr>
          <w:ilvl w:val="0"/>
          <w:numId w:val="2"/>
        </w:numPr>
        <w:spacing w:after="100"/>
      </w:pPr>
      <w:r>
        <w:rPr>
          <w:rFonts w:ascii="Helvetica" w:cs="Helvetica" w:eastAsia="Helvetica" w:hAnsi="Helvetica"/>
          <w:b/>
          <w:bCs/>
          <w:color w:val="3D434A"/>
          <w:sz w:val="20"/>
          <w:szCs w:val="20"/>
        </w:rPr>
        <w:t xml:space="preserve">Show the delta since the last review.</w:t>
      </w:r>
      <w:r>
        <w:rPr>
          <w:rFonts w:ascii="Helvetica" w:cs="Helvetica" w:eastAsia="Helvetica" w:hAnsi="Helvetica"/>
          <w:color w:val="2C3036"/>
          <w:sz w:val="20"/>
          <w:szCs w:val="20"/>
        </w:rPr>
        <w:t xml:space="preserve"> Positive, negative, or flat, and why.</w:t>
      </w:r>
    </w:p>
    <w:p>
      <w:pPr>
        <w:pStyle w:val="ListParagraph"/>
        <w:numPr>
          <w:ilvl w:val="0"/>
          <w:numId w:val="2"/>
        </w:numPr>
        <w:spacing w:after="100"/>
      </w:pPr>
      <w:r>
        <w:rPr>
          <w:rFonts w:ascii="Helvetica" w:cs="Helvetica" w:eastAsia="Helvetica" w:hAnsi="Helvetica"/>
          <w:b/>
          <w:bCs/>
          <w:color w:val="3D434A"/>
          <w:sz w:val="20"/>
          <w:szCs w:val="20"/>
        </w:rPr>
        <w:t xml:space="preserve">Be ready to drill down.</w:t>
      </w:r>
      <w:r>
        <w:rPr>
          <w:rFonts w:ascii="Helvetica" w:cs="Helvetica" w:eastAsia="Helvetica" w:hAnsi="Helvetica"/>
          <w:color w:val="2C3036"/>
          <w:sz w:val="20"/>
          <w:szCs w:val="20"/>
        </w:rPr>
        <w:t xml:space="preserve"> For every late or slipping milestone, show the critical path, the gap, the wiggle chart trend, and the recovery actions on demand.</w:t>
      </w:r>
    </w:p>
    <w:p>
      <w:pPr>
        <w:pStyle w:val="Heading1"/>
        <w:keepNext/>
        <w:pageBreakBefore/>
        <w:spacing w:after="100" w:before="280"/>
      </w:pPr>
      <w:r>
        <w:rPr>
          <w:rFonts w:ascii="Helvetica" w:cs="Helvetica" w:eastAsia="Helvetica" w:hAnsi="Helvetica"/>
          <w:b/>
          <w:bCs/>
          <w:color w:val="3D434A"/>
          <w:sz w:val="24"/>
          <w:szCs w:val="24"/>
        </w:rPr>
        <w:t xml:space="preserve">3. Entry criteria</w:t>
      </w:r>
    </w:p>
    <w:p>
      <w:pPr>
        <w:spacing w:after="140"/>
        <w:jc w:val="both"/>
      </w:pPr>
      <w:r>
        <w:rPr>
          <w:rFonts w:ascii="Helvetica" w:cs="Helvetica" w:eastAsia="Helvetica" w:hAnsi="Helvetica"/>
          <w:color w:val="2C3036"/>
          <w:sz w:val="20"/>
          <w:szCs w:val="20"/>
        </w:rPr>
        <w:t xml:space="preserve">The session only works if three conditions are met before the meeting. If any is not met for a given project, that project defers to the next cycle.</w:t>
      </w:r>
    </w:p>
    <w:p>
      <w:pPr>
        <w:pStyle w:val="ListParagraph"/>
        <w:numPr>
          <w:ilvl w:val="0"/>
          <w:numId w:val="3"/>
        </w:numPr>
        <w:spacing w:after="100"/>
      </w:pPr>
      <w:r>
        <w:rPr>
          <w:rFonts w:ascii="Helvetica" w:cs="Helvetica" w:eastAsia="Helvetica" w:hAnsi="Helvetica"/>
          <w:b/>
          <w:bCs/>
          <w:color w:val="3D434A"/>
          <w:sz w:val="20"/>
          <w:szCs w:val="20"/>
        </w:rPr>
        <w:t xml:space="preserve">Schedules are current.</w:t>
      </w:r>
      <w:r>
        <w:rPr>
          <w:rFonts w:ascii="Helvetica" w:cs="Helvetica" w:eastAsia="Helvetica" w:hAnsi="Helvetica"/>
          <w:color w:val="2C3036"/>
          <w:sz w:val="20"/>
          <w:szCs w:val="20"/>
        </w:rPr>
        <w:t xml:space="preserve"> Each PM's schedule is updated to the last refresh and reflects present reality as best as the team can state it.</w:t>
      </w:r>
    </w:p>
    <w:p>
      <w:pPr>
        <w:pStyle w:val="ListParagraph"/>
        <w:numPr>
          <w:ilvl w:val="0"/>
          <w:numId w:val="3"/>
        </w:numPr>
        <w:spacing w:after="100"/>
      </w:pPr>
      <w:r>
        <w:rPr>
          <w:rFonts w:ascii="Helvetica" w:cs="Helvetica" w:eastAsia="Helvetica" w:hAnsi="Helvetica"/>
          <w:b/>
          <w:bCs/>
          <w:color w:val="3D434A"/>
          <w:sz w:val="20"/>
          <w:szCs w:val="20"/>
        </w:rPr>
        <w:t xml:space="preserve">PM and product boss are pre-aligned.</w:t>
      </w:r>
      <w:r>
        <w:rPr>
          <w:rFonts w:ascii="Helvetica" w:cs="Helvetica" w:eastAsia="Helvetica" w:hAnsi="Helvetica"/>
          <w:color w:val="2C3036"/>
          <w:sz w:val="20"/>
          <w:szCs w:val="20"/>
        </w:rPr>
        <w:t xml:space="preserve"> A pre-meeting alignment has taken place, and both arrive on the same page on the schedule and its latest status. A surprise between PM and product boss in the room means this criterion failed.</w:t>
      </w:r>
    </w:p>
    <w:p>
      <w:pPr>
        <w:pStyle w:val="ListParagraph"/>
        <w:numPr>
          <w:ilvl w:val="0"/>
          <w:numId w:val="3"/>
        </w:numPr>
        <w:spacing w:after="100"/>
      </w:pPr>
      <w:r>
        <w:rPr>
          <w:rFonts w:ascii="Helvetica" w:cs="Helvetica" w:eastAsia="Helvetica" w:hAnsi="Helvetica"/>
          <w:b/>
          <w:bCs/>
          <w:color w:val="3D434A"/>
          <w:sz w:val="20"/>
          <w:szCs w:val="20"/>
        </w:rPr>
        <w:t xml:space="preserve">Critical path analysis is drill-down ready.</w:t>
      </w:r>
      <w:r>
        <w:rPr>
          <w:rFonts w:ascii="Helvetica" w:cs="Helvetica" w:eastAsia="Helvetica" w:hAnsi="Helvetica"/>
          <w:color w:val="2C3036"/>
          <w:sz w:val="20"/>
          <w:szCs w:val="20"/>
        </w:rPr>
        <w:t xml:space="preserve"> The fastProject critical path analysis is complete, with actions in flight on the top 5 critical paths and the material on standby.</w:t>
      </w:r>
    </w:p>
    <w:p>
      <w:pPr>
        <w:pStyle w:val="Heading1"/>
        <w:keepNext/>
        <w:pageBreakBefore/>
        <w:spacing w:after="100" w:before="280"/>
      </w:pPr>
      <w:r>
        <w:rPr>
          <w:rFonts w:ascii="Helvetica" w:cs="Helvetica" w:eastAsia="Helvetica" w:hAnsi="Helvetica"/>
          <w:b/>
          <w:bCs/>
          <w:color w:val="3D434A"/>
          <w:sz w:val="24"/>
          <w:szCs w:val="24"/>
        </w:rPr>
        <w:t xml:space="preserve">4. Review structure</w:t>
      </w:r>
    </w:p>
    <w:p>
      <w:pPr>
        <w:spacing w:after="140"/>
        <w:jc w:val="both"/>
      </w:pPr>
      <w:r>
        <w:rPr>
          <w:rFonts w:ascii="Helvetica" w:cs="Helvetica" w:eastAsia="Helvetica" w:hAnsi="Helvetica"/>
          <w:color w:val="2C3036"/>
          <w:sz w:val="20"/>
          <w:szCs w:val="20"/>
        </w:rPr>
        <w:t xml:space="preserve">Six content blocks per project, sourced from existing PDT artifacts. Blocks 1 and 2 appear in the first review, then only when something changes; otherwise the session opens directly at block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
        <w:gridCol w:w="1660"/>
        <w:gridCol w:w="4820"/>
        <w:gridCol w:w="2460"/>
      </w:tblGrid>
      <w:tr>
        <w:trPr>
          <w:tblHeader/>
        </w:trPr>
        <w:tc>
          <w:tcPr>
            <w:tcW w:type="dxa" w:w="42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w:t>
            </w:r>
          </w:p>
        </w:tc>
        <w:tc>
          <w:tcPr>
            <w:tcW w:type="dxa" w:w="16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Block</w:t>
            </w:r>
          </w:p>
        </w:tc>
        <w:tc>
          <w:tcPr>
            <w:tcW w:type="dxa" w:w="482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Content</w:t>
            </w:r>
          </w:p>
        </w:tc>
        <w:tc>
          <w:tcPr>
            <w:tcW w:type="dxa" w:w="24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Source / cadence</w:t>
            </w:r>
          </w:p>
        </w:tc>
      </w:tr>
      <w:tr>
        <w:tc>
          <w:tcPr>
            <w:tcW w:type="dxa" w:w="4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1</w:t>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Development flow</w:t>
            </w:r>
          </w:p>
        </w:tc>
        <w:tc>
          <w:tcPr>
            <w:tcW w:type="dxa" w:w="48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Calibrate everyone on the recent development flow changes. First review only; thereafter only if the flow changes.</w:t>
            </w:r>
          </w:p>
        </w:tc>
        <w:tc>
          <w:tcPr>
            <w:tcW w:type="dxa" w:w="24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Existing development flow chart</w:t>
            </w:r>
          </w:p>
        </w:tc>
      </w:tr>
      <w:tr>
        <w:tc>
          <w:tcPr>
            <w:tcW w:type="dxa" w:w="4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2</w:t>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Schedule assumptions</w:t>
            </w:r>
          </w:p>
        </w:tc>
        <w:tc>
          <w:tcPr>
            <w:tcW w:type="dxa" w:w="48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Scope, sample, and safe launch assumptions plus schedule buffers, stated up front to clear the obvious clarifying questions before the schedule.</w:t>
            </w:r>
          </w:p>
        </w:tc>
        <w:tc>
          <w:tcPr>
            <w:tcW w:type="dxa" w:w="24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PM-maintained, one page</w:t>
            </w:r>
          </w:p>
        </w:tc>
      </w:tr>
      <w:tr>
        <w:tc>
          <w:tcPr>
            <w:tcW w:type="dxa" w:w="4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3</w:t>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PDT project summary</w:t>
            </w:r>
          </w:p>
        </w:tc>
        <w:tc>
          <w:tcPr>
            <w:tcW w:type="dxa" w:w="48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10,000-foot view of the project. Product bosses tune the mock-up format to their needs.</w:t>
            </w:r>
          </w:p>
        </w:tc>
        <w:tc>
          <w:tcPr>
            <w:tcW w:type="dxa" w:w="24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Mock-up format, product boss owned</w:t>
            </w:r>
          </w:p>
        </w:tc>
      </w:tr>
      <w:tr>
        <w:tc>
          <w:tcPr>
            <w:tcW w:type="dxa" w:w="4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4</w:t>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Portfolio trends summary</w:t>
            </w:r>
          </w:p>
        </w:tc>
        <w:tc>
          <w:tcPr>
            <w:tcW w:type="dxa" w:w="48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Trend view across the portfolio on the standardized milestone set.</w:t>
            </w:r>
          </w:p>
        </w:tc>
        <w:tc>
          <w:tcPr>
            <w:tcW w:type="dxa" w:w="24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AI-generated weekly</w:t>
            </w:r>
          </w:p>
        </w:tc>
      </w:tr>
      <w:tr>
        <w:tc>
          <w:tcPr>
            <w:tcW w:type="dxa" w:w="4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5</w:t>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Wiggle chart summary</w:t>
            </w:r>
          </w:p>
        </w:tc>
        <w:tc>
          <w:tcPr>
            <w:tcW w:type="dxa" w:w="48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Per-project wiggle chart on the converged common milestone set: samples, qual, release.</w:t>
            </w:r>
          </w:p>
        </w:tc>
        <w:tc>
          <w:tcPr>
            <w:tcW w:type="dxa" w:w="24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AI-generated weekly</w:t>
            </w:r>
          </w:p>
        </w:tc>
      </w:tr>
      <w:tr>
        <w:tc>
          <w:tcPr>
            <w:tcW w:type="dxa" w:w="4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6</w:t>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Key issues and help needed</w:t>
            </w:r>
          </w:p>
        </w:tc>
        <w:tc>
          <w:tcPr>
            <w:tcW w:type="dxa" w:w="48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The real problems, the specific asks, and who is needed to act.</w:t>
            </w:r>
          </w:p>
        </w:tc>
        <w:tc>
          <w:tcPr>
            <w:tcW w:type="dxa" w:w="24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PM and product boss</w:t>
            </w:r>
          </w:p>
        </w:tc>
      </w:tr>
    </w:tbl>
    <w:p>
      <w:pPr>
        <w:spacing w:after="140" w:before="160"/>
        <w:jc w:val="both"/>
      </w:pPr>
      <w:r>
        <w:rPr>
          <w:rFonts w:ascii="Helvetica" w:cs="Helvetica" w:eastAsia="Helvetica" w:hAnsi="Helvetica"/>
          <w:b/>
          <w:bCs/>
          <w:color w:val="3D434A"/>
          <w:sz w:val="20"/>
          <w:szCs w:val="20"/>
        </w:rPr>
        <w:t xml:space="preserve">On standby for drill-down: </w:t>
      </w:r>
      <w:r>
        <w:rPr>
          <w:rFonts w:ascii="Helvetica" w:cs="Helvetica" w:eastAsia="Helvetica" w:hAnsi="Helvetica"/>
          <w:color w:val="2C3036"/>
          <w:sz w:val="20"/>
          <w:szCs w:val="20"/>
        </w:rPr>
        <w:t xml:space="preserve">live schedules, the portfolio dashboard, and the critical path analysis. These are opened on demand, not presented by default.</w:t>
      </w:r>
    </w:p>
    <w:p>
      <w:pPr>
        <w:pStyle w:val="Heading1"/>
        <w:keepNext/>
        <w:pageBreakBefore/>
        <w:spacing w:after="100" w:before="280"/>
      </w:pPr>
      <w:r>
        <w:rPr>
          <w:rFonts w:ascii="Helvetica" w:cs="Helvetica" w:eastAsia="Helvetica" w:hAnsi="Helvetica"/>
          <w:b/>
          <w:bCs/>
          <w:color w:val="3D434A"/>
          <w:sz w:val="24"/>
          <w:szCs w:val="24"/>
        </w:rPr>
        <w:t xml:space="preserve">5. Program status summary</w:t>
      </w:r>
    </w:p>
    <w:p>
      <w:pPr>
        <w:spacing w:after="140"/>
        <w:jc w:val="both"/>
      </w:pPr>
      <w:r>
        <w:rPr>
          <w:rFonts w:ascii="Helvetica" w:cs="Helvetica" w:eastAsia="Helvetica" w:hAnsi="Helvetica"/>
          <w:color w:val="2C3036"/>
          <w:sz w:val="20"/>
          <w:szCs w:val="20"/>
        </w:rPr>
        <w:t xml:space="preserve">Each program opens with a milestone table populated from the wigglechart dashboard, one row per major milestone, followed by decisions communicated and critical path blockers.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60"/>
        <w:gridCol w:w="6700"/>
      </w:tblGrid>
      <w:tr>
        <w:trPr>
          <w:tblHeader/>
        </w:trPr>
        <w:tc>
          <w:tcPr>
            <w:tcW w:type="dxa" w:w="26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Column</w:t>
            </w:r>
          </w:p>
        </w:tc>
        <w:tc>
          <w:tcPr>
            <w:tcW w:type="dxa" w:w="670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What it shows</w:t>
            </w:r>
          </w:p>
        </w:tc>
      </w:tr>
      <w:tr>
        <w:tc>
          <w:tcPr>
            <w:tcW w:type="dxa" w:w="2660"/>
            <w:tcMar>
              <w:top w:type="dxa" w:w="80"/>
              <w:left w:type="dxa" w:w="110"/>
              <w:bottom w:type="dxa" w:w="80"/>
              <w:right w:type="dxa" w:w="110"/>
            </w:tcMar>
          </w:tcPr>
          <w:p>
            <w:r>
              <w:rPr>
                <w:rFonts w:ascii="Helvetica" w:cs="Helvetica" w:eastAsia="Helvetica" w:hAnsi="Helvetica"/>
                <w:b/>
                <w:bCs/>
                <w:color w:val="3D434A"/>
                <w:sz w:val="17"/>
                <w:szCs w:val="17"/>
              </w:rPr>
              <w:t xml:space="preserve">Target milestone</w:t>
            </w:r>
          </w:p>
        </w:tc>
        <w:tc>
          <w:tcPr>
            <w:tcW w:type="dxa" w:w="67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The standardized milestone name.</w:t>
            </w:r>
          </w:p>
        </w:tc>
      </w:tr>
      <w:tr>
        <w:tc>
          <w:tcPr>
            <w:tcW w:type="dxa" w:w="26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Target date / Predicted finish</w:t>
            </w:r>
          </w:p>
        </w:tc>
        <w:tc>
          <w:tcPr>
            <w:tcW w:type="dxa" w:w="67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Commit date and current forecast from the live schedule.</w:t>
            </w:r>
          </w:p>
        </w:tc>
      </w:tr>
      <w:tr>
        <w:tc>
          <w:tcPr>
            <w:tcW w:type="dxa" w:w="2660"/>
            <w:tcMar>
              <w:top w:type="dxa" w:w="80"/>
              <w:left w:type="dxa" w:w="110"/>
              <w:bottom w:type="dxa" w:w="80"/>
              <w:right w:type="dxa" w:w="110"/>
            </w:tcMar>
          </w:tcPr>
          <w:p>
            <w:r>
              <w:rPr>
                <w:rFonts w:ascii="Helvetica" w:cs="Helvetica" w:eastAsia="Helvetica" w:hAnsi="Helvetica"/>
                <w:b/>
                <w:bCs/>
                <w:color w:val="3D434A"/>
                <w:sz w:val="17"/>
                <w:szCs w:val="17"/>
              </w:rPr>
              <w:t xml:space="preserve">Schedule gap</w:t>
            </w:r>
          </w:p>
        </w:tc>
        <w:tc>
          <w:tcPr>
            <w:tcW w:type="dxa" w:w="67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Days between target and forecast. Negative means late.</w:t>
            </w:r>
          </w:p>
        </w:tc>
      </w:tr>
      <w:tr>
        <w:tc>
          <w:tcPr>
            <w:tcW w:type="dxa" w:w="26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Risk</w:t>
            </w:r>
          </w:p>
        </w:tc>
        <w:tc>
          <w:tcPr>
            <w:tcW w:type="dxa" w:w="67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RAG status.</w:t>
            </w:r>
          </w:p>
        </w:tc>
      </w:tr>
      <w:tr>
        <w:tc>
          <w:tcPr>
            <w:tcW w:type="dxa" w:w="2660"/>
            <w:tcMar>
              <w:top w:type="dxa" w:w="80"/>
              <w:left w:type="dxa" w:w="110"/>
              <w:bottom w:type="dxa" w:w="80"/>
              <w:right w:type="dxa" w:w="110"/>
            </w:tcMar>
          </w:tcPr>
          <w:p>
            <w:r>
              <w:rPr>
                <w:rFonts w:ascii="Helvetica" w:cs="Helvetica" w:eastAsia="Helvetica" w:hAnsi="Helvetica"/>
                <w:b/>
                <w:bCs/>
                <w:color w:val="3D434A"/>
                <w:sz w:val="17"/>
                <w:szCs w:val="17"/>
              </w:rPr>
              <w:t xml:space="preserve">Change since last update</w:t>
            </w:r>
          </w:p>
        </w:tc>
        <w:tc>
          <w:tcPr>
            <w:tcW w:type="dxa" w:w="67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Movement since the prior refresh, with direction.</w:t>
            </w:r>
          </w:p>
        </w:tc>
      </w:tr>
      <w:tr>
        <w:tc>
          <w:tcPr>
            <w:tcW w:type="dxa" w:w="26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Trend</w:t>
            </w:r>
          </w:p>
        </w:tc>
        <w:tc>
          <w:tcPr>
            <w:tcW w:type="dxa" w:w="67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The milestone's wiggle sparkline, pasted from the dashboard.</w:t>
            </w:r>
          </w:p>
        </w:tc>
      </w:tr>
      <w:tr>
        <w:tc>
          <w:tcPr>
            <w:tcW w:type="dxa" w:w="2660"/>
            <w:tcMar>
              <w:top w:type="dxa" w:w="80"/>
              <w:left w:type="dxa" w:w="110"/>
              <w:bottom w:type="dxa" w:w="80"/>
              <w:right w:type="dxa" w:w="110"/>
            </w:tcMar>
          </w:tcPr>
          <w:p>
            <w:r>
              <w:rPr>
                <w:rFonts w:ascii="Helvetica" w:cs="Helvetica" w:eastAsia="Helvetica" w:hAnsi="Helvetica"/>
                <w:b/>
                <w:bCs/>
                <w:color w:val="3D434A"/>
                <w:sz w:val="17"/>
                <w:szCs w:val="17"/>
              </w:rPr>
              <w:t xml:space="preserve">Cause of change</w:t>
            </w:r>
          </w:p>
        </w:tc>
        <w:tc>
          <w:tcPr>
            <w:tcW w:type="dxa" w:w="67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What moved the date, in one line.</w:t>
            </w:r>
          </w:p>
        </w:tc>
      </w:tr>
      <w:tr>
        <w:tc>
          <w:tcPr>
            <w:tcW w:type="dxa" w:w="26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Actions</w:t>
            </w:r>
          </w:p>
        </w:tc>
        <w:tc>
          <w:tcPr>
            <w:tcW w:type="dxa" w:w="67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What the team is doing about it: owner and due date.</w:t>
            </w:r>
          </w:p>
        </w:tc>
      </w:tr>
    </w:tbl>
    <w:p>
      <w:pPr>
        <w:spacing w:after="140" w:before="160"/>
        <w:jc w:val="both"/>
      </w:pPr>
      <w:r>
        <w:rPr>
          <w:rFonts w:ascii="Helvetica" w:cs="Helvetica" w:eastAsia="Helvetica" w:hAnsi="Helvetica"/>
          <w:b/>
          <w:bCs/>
          <w:color w:val="3D434A"/>
          <w:sz w:val="20"/>
          <w:szCs w:val="20"/>
        </w:rPr>
        <w:t xml:space="preserve">Decisions communicated </w:t>
      </w:r>
      <w:r>
        <w:rPr>
          <w:rFonts w:ascii="Helvetica" w:cs="Helvetica" w:eastAsia="Helvetica" w:hAnsi="Helvetica"/>
          <w:color w:val="2C3036"/>
          <w:sz w:val="20"/>
          <w:szCs w:val="20"/>
        </w:rPr>
        <w:t xml:space="preserve">lists each decision made within the PDT freedom scale, its rationale, its freedom scale level, and its effective date. </w:t>
      </w:r>
      <w:r>
        <w:rPr>
          <w:rFonts w:ascii="Helvetica" w:cs="Helvetica" w:eastAsia="Helvetica" w:hAnsi="Helvetica"/>
          <w:b/>
          <w:bCs/>
          <w:color w:val="3D434A"/>
          <w:sz w:val="20"/>
          <w:szCs w:val="20"/>
        </w:rPr>
        <w:t xml:space="preserve">Critical path blockers </w:t>
      </w:r>
      <w:r>
        <w:rPr>
          <w:rFonts w:ascii="Helvetica" w:cs="Helvetica" w:eastAsia="Helvetica" w:hAnsi="Helvetica"/>
          <w:color w:val="2C3036"/>
          <w:sz w:val="20"/>
          <w:szCs w:val="20"/>
        </w:rPr>
        <w:t xml:space="preserve">lists CP1 through CP3 with the top issue, actions taken, and the help needed. Fill-in templates for both are in the appendix.</w:t>
      </w:r>
    </w:p>
    <w:p>
      <w:pPr>
        <w:pStyle w:val="Heading1"/>
        <w:keepNext/>
        <w:pageBreakBefore/>
        <w:spacing w:after="100" w:before="280"/>
      </w:pPr>
      <w:r>
        <w:rPr>
          <w:rFonts w:ascii="Helvetica" w:cs="Helvetica" w:eastAsia="Helvetica" w:hAnsi="Helvetica"/>
          <w:b/>
          <w:bCs/>
          <w:color w:val="3D434A"/>
          <w:sz w:val="24"/>
          <w:szCs w:val="24"/>
        </w:rPr>
        <w:t xml:space="preserve">6. PM drill-down standard</w:t>
      </w:r>
    </w:p>
    <w:p>
      <w:pPr>
        <w:spacing w:after="140"/>
        <w:jc w:val="both"/>
      </w:pPr>
      <w:r>
        <w:rPr>
          <w:rFonts w:ascii="Helvetica" w:cs="Helvetica" w:eastAsia="Helvetica" w:hAnsi="Helvetica"/>
          <w:color w:val="2C3036"/>
          <w:sz w:val="20"/>
          <w:szCs w:val="20"/>
        </w:rPr>
        <w:t xml:space="preserve">When a milestone is late, or on request, the PM drills down from the live schedule. Each PM already runs this analysis weekly with their core team, so no preparation should be needed; rehearsing for the first session is sensible.</w:t>
      </w:r>
    </w:p>
    <w:p>
      <w:pPr>
        <w:pStyle w:val="ListParagraph"/>
        <w:numPr>
          <w:ilvl w:val="0"/>
          <w:numId w:val="4"/>
        </w:numPr>
        <w:spacing w:after="100"/>
      </w:pPr>
      <w:r>
        <w:rPr>
          <w:rFonts w:ascii="Helvetica" w:cs="Helvetica" w:eastAsia="Helvetica" w:hAnsi="Helvetica"/>
          <w:b/>
          <w:bCs/>
          <w:color w:val="3D434A"/>
          <w:sz w:val="20"/>
          <w:szCs w:val="20"/>
        </w:rPr>
        <w:t xml:space="preserve">Critical path to each standardized target.</w:t>
      </w:r>
      <w:r>
        <w:rPr>
          <w:rFonts w:ascii="Helvetica" w:cs="Helvetica" w:eastAsia="Helvetica" w:hAnsi="Helvetica"/>
          <w:color w:val="2C3036"/>
          <w:sz w:val="20"/>
          <w:szCs w:val="20"/>
        </w:rPr>
        <w:t xml:space="preserve"> What is driving the finish date and the gap?</w:t>
      </w:r>
    </w:p>
    <w:p>
      <w:pPr>
        <w:pStyle w:val="ListParagraph"/>
        <w:numPr>
          <w:ilvl w:val="0"/>
          <w:numId w:val="4"/>
        </w:numPr>
        <w:spacing w:after="100"/>
      </w:pPr>
      <w:r>
        <w:rPr>
          <w:rFonts w:ascii="Helvetica" w:cs="Helvetica" w:eastAsia="Helvetica" w:hAnsi="Helvetica"/>
          <w:b/>
          <w:bCs/>
          <w:color w:val="3D434A"/>
          <w:sz w:val="20"/>
          <w:szCs w:val="20"/>
        </w:rPr>
        <w:t xml:space="preserve">Peel back to CP2–CP4.</w:t>
      </w:r>
      <w:r>
        <w:rPr>
          <w:rFonts w:ascii="Helvetica" w:cs="Helvetica" w:eastAsia="Helvetica" w:hAnsi="Helvetica"/>
          <w:color w:val="2C3036"/>
          <w:sz w:val="20"/>
          <w:szCs w:val="20"/>
        </w:rPr>
        <w:t xml:space="preserve"> What should we be worried about next?</w:t>
      </w:r>
    </w:p>
    <w:p>
      <w:pPr>
        <w:pStyle w:val="ListParagraph"/>
        <w:numPr>
          <w:ilvl w:val="0"/>
          <w:numId w:val="4"/>
        </w:numPr>
        <w:spacing w:after="100"/>
      </w:pPr>
      <w:r>
        <w:rPr>
          <w:rFonts w:ascii="Helvetica" w:cs="Helvetica" w:eastAsia="Helvetica" w:hAnsi="Helvetica"/>
          <w:b/>
          <w:bCs/>
          <w:color w:val="3D434A"/>
          <w:sz w:val="20"/>
          <w:szCs w:val="20"/>
        </w:rPr>
        <w:t xml:space="preserve">CP trend analysis.</w:t>
      </w:r>
      <w:r>
        <w:rPr>
          <w:rFonts w:ascii="Helvetica" w:cs="Helvetica" w:eastAsia="Helvetica" w:hAnsi="Helvetica"/>
          <w:color w:val="2C3036"/>
          <w:sz w:val="20"/>
          <w:szCs w:val="20"/>
        </w:rPr>
        <w:t xml:space="preserve"> What should we be worried about next, based on how CP2 and beyond are trending?</w:t>
      </w:r>
    </w:p>
    <w:p>
      <w:pPr>
        <w:pStyle w:val="ListParagraph"/>
        <w:numPr>
          <w:ilvl w:val="0"/>
          <w:numId w:val="4"/>
        </w:numPr>
        <w:spacing w:after="100"/>
      </w:pPr>
      <w:r>
        <w:rPr>
          <w:rFonts w:ascii="Helvetica" w:cs="Helvetica" w:eastAsia="Helvetica" w:hAnsi="Helvetica"/>
          <w:b/>
          <w:bCs/>
          <w:color w:val="3D434A"/>
          <w:sz w:val="20"/>
          <w:szCs w:val="20"/>
        </w:rPr>
        <w:t xml:space="preserve">Learning cycles.</w:t>
      </w:r>
      <w:r>
        <w:rPr>
          <w:rFonts w:ascii="Helvetica" w:cs="Helvetica" w:eastAsia="Helvetica" w:hAnsi="Helvetica"/>
          <w:color w:val="2C3036"/>
          <w:sz w:val="20"/>
          <w:szCs w:val="20"/>
        </w:rPr>
        <w:t xml:space="preserve"> How many learning cycles does the team realistically expect to need to solve the outstanding technical problems? This is the realistic schedule.</w:t>
      </w:r>
    </w:p>
    <w:p>
      <w:pPr>
        <w:pStyle w:val="Heading1"/>
        <w:keepNext/>
        <w:pageBreakBefore/>
        <w:spacing w:after="100" w:before="280"/>
      </w:pPr>
      <w:r>
        <w:rPr>
          <w:rFonts w:ascii="Helvetica" w:cs="Helvetica" w:eastAsia="Helvetica" w:hAnsi="Helvetica"/>
          <w:b/>
          <w:bCs/>
          <w:color w:val="3D434A"/>
          <w:sz w:val="24"/>
          <w:szCs w:val="24"/>
        </w:rPr>
        <w:t xml:space="preserve">7. Roles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0"/>
      </w:tblGrid>
      <w:tr>
        <w:trPr>
          <w:tblHeader/>
        </w:trPr>
        <w:tc>
          <w:tcPr>
            <w:tcW w:type="dxa" w:w="21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Role</w:t>
            </w:r>
          </w:p>
        </w:tc>
        <w:tc>
          <w:tcPr>
            <w:tcW w:type="dxa" w:w="720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Responsibility</w:t>
            </w:r>
          </w:p>
        </w:tc>
      </w:tr>
      <w:tr>
        <w:tc>
          <w:tcPr>
            <w:tcW w:type="dxa" w:w="2160"/>
            <w:tcMar>
              <w:top w:type="dxa" w:w="80"/>
              <w:left w:type="dxa" w:w="110"/>
              <w:bottom w:type="dxa" w:w="80"/>
              <w:right w:type="dxa" w:w="110"/>
            </w:tcMar>
          </w:tcPr>
          <w:p>
            <w:r>
              <w:rPr>
                <w:rFonts w:ascii="Helvetica" w:cs="Helvetica" w:eastAsia="Helvetica" w:hAnsi="Helvetica"/>
                <w:b/>
                <w:bCs/>
                <w:color w:val="3D434A"/>
                <w:sz w:val="17"/>
                <w:szCs w:val="17"/>
              </w:rPr>
              <w:t xml:space="preserve">Product bosses</w:t>
            </w:r>
          </w:p>
        </w:tc>
        <w:tc>
          <w:tcPr>
            <w:tcW w:type="dxa" w:w="72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Present. Own blocks 3 and 6; tune the project summary format to their needs.</w:t>
            </w:r>
          </w:p>
        </w:tc>
      </w:tr>
      <w:tr>
        <w:tc>
          <w:tcPr>
            <w:tcW w:type="dxa" w:w="21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PMs</w:t>
            </w:r>
          </w:p>
        </w:tc>
        <w:tc>
          <w:tcPr>
            <w:tcW w:type="dxa" w:w="72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Jump in to add color; own the drill-down from live schedules and CP analysis; keep schedules and assumptions current.</w:t>
            </w:r>
          </w:p>
        </w:tc>
      </w:tr>
      <w:tr>
        <w:tc>
          <w:tcPr>
            <w:tcW w:type="dxa" w:w="2160"/>
            <w:tcMar>
              <w:top w:type="dxa" w:w="80"/>
              <w:left w:type="dxa" w:w="110"/>
              <w:bottom w:type="dxa" w:w="80"/>
              <w:right w:type="dxa" w:w="110"/>
            </w:tcMar>
          </w:tcPr>
          <w:p>
            <w:r>
              <w:rPr>
                <w:rFonts w:ascii="Helvetica" w:cs="Helvetica" w:eastAsia="Helvetica" w:hAnsi="Helvetica"/>
                <w:b/>
                <w:bCs/>
                <w:color w:val="3D434A"/>
                <w:sz w:val="17"/>
                <w:szCs w:val="17"/>
              </w:rPr>
              <w:t xml:space="preserve">Program direction</w:t>
            </w:r>
          </w:p>
        </w:tc>
        <w:tc>
          <w:tcPr>
            <w:tcW w:type="dxa" w:w="72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Set the working-session expectation with the leadership team; hold the format; keep the session on real problems, not polish.</w:t>
            </w:r>
          </w:p>
        </w:tc>
      </w:tr>
      <w:tr>
        <w:tc>
          <w:tcPr>
            <w:tcW w:type="dxa" w:w="216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Leadership team</w:t>
            </w:r>
          </w:p>
        </w:tc>
        <w:tc>
          <w:tcPr>
            <w:tcW w:type="dxa" w:w="72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Receive decisions as communication; respond to help-needed items with timely support.</w:t>
            </w:r>
          </w:p>
        </w:tc>
      </w:tr>
    </w:tbl>
    <w:p>
      <w:pPr>
        <w:pStyle w:val="Heading1"/>
        <w:keepNext/>
        <w:pageBreakBefore/>
        <w:spacing w:after="100" w:before="280"/>
      </w:pPr>
      <w:r>
        <w:rPr>
          <w:rFonts w:ascii="Helvetica" w:cs="Helvetica" w:eastAsia="Helvetica" w:hAnsi="Helvetica"/>
          <w:b/>
          <w:bCs/>
          <w:color w:val="3D434A"/>
          <w:sz w:val="24"/>
          <w:szCs w:val="24"/>
        </w:rPr>
        <w:t xml:space="preserve">Appendix: fill-in templates</w:t>
      </w:r>
    </w:p>
    <w:p>
      <w:pPr>
        <w:spacing w:after="140"/>
        <w:jc w:val="both"/>
      </w:pPr>
      <w:r>
        <w:rPr>
          <w:rFonts w:ascii="Helvetica" w:cs="Helvetica" w:eastAsia="Helvetica" w:hAnsi="Helvetica"/>
          <w:color w:val="2C3036"/>
          <w:sz w:val="20"/>
          <w:szCs w:val="20"/>
        </w:rPr>
        <w:t xml:space="preserve">These tables are populated from the weekly PDT artifacts, not built by hand.</w:t>
      </w:r>
    </w:p>
    <w:p>
      <w:pPr>
        <w:pStyle w:val="Heading2"/>
        <w:keepNext/>
        <w:spacing w:after="60" w:before="200"/>
      </w:pPr>
      <w:r>
        <w:rPr>
          <w:rFonts w:ascii="Helvetica" w:cs="Helvetica" w:eastAsia="Helvetica" w:hAnsi="Helvetica"/>
          <w:b/>
          <w:bCs/>
          <w:color w:val="F08C00"/>
          <w:sz w:val="20"/>
          <w:szCs w:val="20"/>
        </w:rPr>
        <w:t xml:space="preserve">A. Milestone status summary (per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220"/>
        <w:gridCol w:w="1080"/>
        <w:gridCol w:w="1660"/>
        <w:gridCol w:w="3600"/>
      </w:tblGrid>
      <w:tr>
        <w:trPr>
          <w:tblHeader/>
        </w:trPr>
        <w:tc>
          <w:tcPr>
            <w:tcW w:type="dxa" w:w="180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Milestone</w:t>
            </w:r>
          </w:p>
        </w:tc>
        <w:tc>
          <w:tcPr>
            <w:tcW w:type="dxa" w:w="122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Status</w:t>
            </w:r>
          </w:p>
        </w:tc>
        <w:tc>
          <w:tcPr>
            <w:tcW w:type="dxa" w:w="108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Trend</w:t>
            </w:r>
          </w:p>
        </w:tc>
        <w:tc>
          <w:tcPr>
            <w:tcW w:type="dxa" w:w="16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Commit / forecast</w:t>
            </w:r>
          </w:p>
        </w:tc>
        <w:tc>
          <w:tcPr>
            <w:tcW w:type="dxa" w:w="360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What the team is doing about it</w:t>
            </w:r>
          </w:p>
        </w:tc>
      </w:tr>
      <w:tr>
        <w:tc>
          <w:tcPr>
            <w:tcW w:type="dxa" w:w="1800"/>
            <w:tcMar>
              <w:top w:type="dxa" w:w="80"/>
              <w:left w:type="dxa" w:w="110"/>
              <w:bottom w:type="dxa" w:w="80"/>
              <w:right w:type="dxa" w:w="110"/>
            </w:tcMar>
          </w:tcPr>
          <w:p>
            <w:r>
              <w:rPr>
                <w:rFonts w:ascii="Helvetica" w:cs="Helvetica" w:eastAsia="Helvetica" w:hAnsi="Helvetica"/>
                <w:b/>
                <w:bCs/>
                <w:color w:val="3D434A"/>
                <w:sz w:val="17"/>
                <w:szCs w:val="17"/>
              </w:rPr>
              <w:t xml:space="preserve">Samples</w:t>
            </w:r>
          </w:p>
        </w:tc>
        <w:tc>
          <w:tcPr>
            <w:tcW w:type="dxa" w:w="12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08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36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r>
        <w:tc>
          <w:tcPr>
            <w:tcW w:type="dxa" w:w="180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Qual</w:t>
            </w:r>
          </w:p>
        </w:tc>
        <w:tc>
          <w:tcPr>
            <w:tcW w:type="dxa" w:w="12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08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36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r>
        <w:tc>
          <w:tcPr>
            <w:tcW w:type="dxa" w:w="1800"/>
            <w:tcMar>
              <w:top w:type="dxa" w:w="80"/>
              <w:left w:type="dxa" w:w="110"/>
              <w:bottom w:type="dxa" w:w="80"/>
              <w:right w:type="dxa" w:w="110"/>
            </w:tcMar>
          </w:tcPr>
          <w:p>
            <w:r>
              <w:rPr>
                <w:rFonts w:ascii="Helvetica" w:cs="Helvetica" w:eastAsia="Helvetica" w:hAnsi="Helvetica"/>
                <w:b/>
                <w:bCs/>
                <w:color w:val="3D434A"/>
                <w:sz w:val="17"/>
                <w:szCs w:val="17"/>
              </w:rPr>
              <w:t xml:space="preserve">Release</w:t>
            </w:r>
          </w:p>
        </w:tc>
        <w:tc>
          <w:tcPr>
            <w:tcW w:type="dxa" w:w="12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08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36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r>
        <w:tc>
          <w:tcPr>
            <w:tcW w:type="dxa" w:w="180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[Project-specific]</w:t>
            </w:r>
          </w:p>
        </w:tc>
        <w:tc>
          <w:tcPr>
            <w:tcW w:type="dxa" w:w="12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08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36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bl>
    <w:p>
      <w:pPr>
        <w:pStyle w:val="Heading2"/>
        <w:keepNext/>
        <w:spacing w:after="60" w:before="200"/>
      </w:pPr>
      <w:r>
        <w:rPr>
          <w:rFonts w:ascii="Helvetica" w:cs="Helvetica" w:eastAsia="Helvetica" w:hAnsi="Helvetica"/>
          <w:b/>
          <w:bCs/>
          <w:color w:val="F08C00"/>
          <w:sz w:val="20"/>
          <w:szCs w:val="20"/>
        </w:rPr>
        <w:t xml:space="preserve">B. Decisions communicated (within PDT freedom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20"/>
        <w:gridCol w:w="3020"/>
        <w:gridCol w:w="1660"/>
        <w:gridCol w:w="1660"/>
      </w:tblGrid>
      <w:tr>
        <w:trPr>
          <w:tblHeader/>
        </w:trPr>
        <w:tc>
          <w:tcPr>
            <w:tcW w:type="dxa" w:w="302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Decision</w:t>
            </w:r>
          </w:p>
        </w:tc>
        <w:tc>
          <w:tcPr>
            <w:tcW w:type="dxa" w:w="302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Rationale</w:t>
            </w:r>
          </w:p>
        </w:tc>
        <w:tc>
          <w:tcPr>
            <w:tcW w:type="dxa" w:w="16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Freedom scale level</w:t>
            </w:r>
          </w:p>
        </w:tc>
        <w:tc>
          <w:tcPr>
            <w:tcW w:type="dxa" w:w="166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Effective date</w:t>
            </w:r>
          </w:p>
        </w:tc>
      </w:tr>
      <w:tr>
        <w:tc>
          <w:tcPr>
            <w:tcW w:type="dxa" w:w="3020"/>
            <w:tcMar>
              <w:top w:type="dxa" w:w="80"/>
              <w:left w:type="dxa" w:w="110"/>
              <w:bottom w:type="dxa" w:w="80"/>
              <w:right w:type="dxa" w:w="110"/>
            </w:tcMar>
          </w:tcPr>
          <w:p>
            <w:r>
              <w:rPr>
                <w:rFonts w:ascii="Helvetica" w:cs="Helvetica" w:eastAsia="Helvetica" w:hAnsi="Helvetica"/>
                <w:b/>
                <w:bCs/>
                <w:color w:val="3D434A"/>
                <w:sz w:val="17"/>
                <w:szCs w:val="17"/>
              </w:rPr>
              <w:t xml:space="preserve"/>
            </w:r>
          </w:p>
        </w:tc>
        <w:tc>
          <w:tcPr>
            <w:tcW w:type="dxa" w:w="302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r>
        <w:tc>
          <w:tcPr>
            <w:tcW w:type="dxa" w:w="302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
            </w:r>
          </w:p>
        </w:tc>
        <w:tc>
          <w:tcPr>
            <w:tcW w:type="dxa" w:w="302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66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bl>
    <w:p>
      <w:pPr>
        <w:pStyle w:val="Heading2"/>
        <w:keepNext/>
        <w:spacing w:after="60" w:before="200"/>
      </w:pPr>
      <w:r>
        <w:rPr>
          <w:rFonts w:ascii="Helvetica" w:cs="Helvetica" w:eastAsia="Helvetica" w:hAnsi="Helvetica"/>
          <w:b/>
          <w:bCs/>
          <w:color w:val="F08C00"/>
          <w:sz w:val="20"/>
          <w:szCs w:val="20"/>
        </w:rPr>
        <w:t xml:space="preserve">C. Key issues and help needed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40"/>
        <w:gridCol w:w="2740"/>
        <w:gridCol w:w="2180"/>
        <w:gridCol w:w="1700"/>
      </w:tblGrid>
      <w:tr>
        <w:trPr>
          <w:tblHeader/>
        </w:trPr>
        <w:tc>
          <w:tcPr>
            <w:tcW w:type="dxa" w:w="274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Issue / gap</w:t>
            </w:r>
          </w:p>
        </w:tc>
        <w:tc>
          <w:tcPr>
            <w:tcW w:type="dxa" w:w="274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Impact if unresolved</w:t>
            </w:r>
          </w:p>
        </w:tc>
        <w:tc>
          <w:tcPr>
            <w:tcW w:type="dxa" w:w="218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Help needed from</w:t>
            </w:r>
          </w:p>
        </w:tc>
        <w:tc>
          <w:tcPr>
            <w:tcW w:type="dxa" w:w="1700"/>
            <w:shd w:fill="3D434A" w:val="clear"/>
            <w:tcMar>
              <w:top w:type="dxa" w:w="80"/>
              <w:left w:type="dxa" w:w="110"/>
              <w:bottom w:type="dxa" w:w="80"/>
              <w:right w:type="dxa" w:w="110"/>
            </w:tcMar>
          </w:tcPr>
          <w:p>
            <w:r>
              <w:rPr>
                <w:rFonts w:ascii="Helvetica" w:cs="Helvetica" w:eastAsia="Helvetica" w:hAnsi="Helvetica"/>
                <w:b/>
                <w:bCs/>
                <w:color w:val="FFFFFF"/>
                <w:sz w:val="17"/>
                <w:szCs w:val="17"/>
              </w:rPr>
              <w:t xml:space="preserve">Needed by</w:t>
            </w:r>
          </w:p>
        </w:tc>
      </w:tr>
      <w:tr>
        <w:tc>
          <w:tcPr>
            <w:tcW w:type="dxa" w:w="2740"/>
            <w:tcMar>
              <w:top w:type="dxa" w:w="80"/>
              <w:left w:type="dxa" w:w="110"/>
              <w:bottom w:type="dxa" w:w="80"/>
              <w:right w:type="dxa" w:w="110"/>
            </w:tcMar>
          </w:tcPr>
          <w:p>
            <w:r>
              <w:rPr>
                <w:rFonts w:ascii="Helvetica" w:cs="Helvetica" w:eastAsia="Helvetica" w:hAnsi="Helvetica"/>
                <w:b/>
                <w:bCs/>
                <w:color w:val="3D434A"/>
                <w:sz w:val="17"/>
                <w:szCs w:val="17"/>
              </w:rPr>
              <w:t xml:space="preserve"/>
            </w:r>
          </w:p>
        </w:tc>
        <w:tc>
          <w:tcPr>
            <w:tcW w:type="dxa" w:w="274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218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700"/>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r>
        <w:tc>
          <w:tcPr>
            <w:tcW w:type="dxa" w:w="2740"/>
            <w:shd w:fill="FBF7F1" w:val="clear"/>
            <w:tcMar>
              <w:top w:type="dxa" w:w="80"/>
              <w:left w:type="dxa" w:w="110"/>
              <w:bottom w:type="dxa" w:w="80"/>
              <w:right w:type="dxa" w:w="110"/>
            </w:tcMar>
          </w:tcPr>
          <w:p>
            <w:r>
              <w:rPr>
                <w:rFonts w:ascii="Helvetica" w:cs="Helvetica" w:eastAsia="Helvetica" w:hAnsi="Helvetica"/>
                <w:b/>
                <w:bCs/>
                <w:color w:val="3D434A"/>
                <w:sz w:val="17"/>
                <w:szCs w:val="17"/>
              </w:rPr>
              <w:t xml:space="preserve"/>
            </w:r>
          </w:p>
        </w:tc>
        <w:tc>
          <w:tcPr>
            <w:tcW w:type="dxa" w:w="274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218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c>
          <w:tcPr>
            <w:tcW w:type="dxa" w:w="1700"/>
            <w:shd w:fill="FBF7F1" w:val="clear"/>
            <w:tcMar>
              <w:top w:type="dxa" w:w="80"/>
              <w:left w:type="dxa" w:w="110"/>
              <w:bottom w:type="dxa" w:w="80"/>
              <w:right w:type="dxa" w:w="110"/>
            </w:tcMar>
          </w:tcPr>
          <w:p>
            <w:r>
              <w:rPr>
                <w:rFonts w:ascii="Helvetica" w:cs="Helvetica" w:eastAsia="Helvetica" w:hAnsi="Helvetica"/>
                <w:b w:val="false"/>
                <w:bCs w:val="false"/>
                <w:color w:val="2C3036"/>
                <w:sz w:val="17"/>
                <w:szCs w:val="17"/>
              </w:rPr>
              <w:t xml:space="preserve"/>
            </w:r>
          </w:p>
        </w:tc>
      </w:tr>
    </w:tbl>
    <w:p>
      <w:pPr>
        <w:pStyle w:val="Heading2"/>
        <w:keepNext/>
        <w:spacing w:after="60" w:before="200"/>
      </w:pPr>
      <w:r>
        <w:rPr>
          <w:rFonts w:ascii="Helvetica" w:cs="Helvetica" w:eastAsia="Helvetica" w:hAnsi="Helvetica"/>
          <w:b/>
          <w:bCs/>
          <w:color w:val="F08C00"/>
          <w:sz w:val="20"/>
          <w:szCs w:val="20"/>
        </w:rPr>
        <w:t xml:space="preserve">D. Drill-down readiness checklist (per PM, pre-meeting)</w:t>
      </w:r>
    </w:p>
    <w:p>
      <w:pPr>
        <w:pStyle w:val="ListParagraph"/>
        <w:numPr>
          <w:ilvl w:val="0"/>
          <w:numId w:val="5"/>
        </w:numPr>
        <w:spacing w:after="80"/>
      </w:pPr>
      <w:r>
        <w:rPr>
          <w:rFonts w:ascii="Helvetica" w:cs="Helvetica" w:eastAsia="Helvetica" w:hAnsi="Helvetica"/>
          <w:color w:val="2C3036"/>
          <w:sz w:val="20"/>
          <w:szCs w:val="20"/>
        </w:rPr>
        <w:t xml:space="preserve">Schedule updated to last refresh and reflecting present reality</w:t>
      </w:r>
    </w:p>
    <w:p>
      <w:pPr>
        <w:pStyle w:val="ListParagraph"/>
        <w:numPr>
          <w:ilvl w:val="0"/>
          <w:numId w:val="5"/>
        </w:numPr>
        <w:spacing w:after="80"/>
      </w:pPr>
      <w:r>
        <w:rPr>
          <w:rFonts w:ascii="Helvetica" w:cs="Helvetica" w:eastAsia="Helvetica" w:hAnsi="Helvetica"/>
          <w:color w:val="2C3036"/>
          <w:sz w:val="20"/>
          <w:szCs w:val="20"/>
        </w:rPr>
        <w:t xml:space="preserve">Pre-alignment with product boss complete; same page on schedule and latest status</w:t>
      </w:r>
    </w:p>
    <w:p>
      <w:pPr>
        <w:pStyle w:val="ListParagraph"/>
        <w:numPr>
          <w:ilvl w:val="0"/>
          <w:numId w:val="5"/>
        </w:numPr>
        <w:spacing w:after="80"/>
      </w:pPr>
      <w:r>
        <w:rPr>
          <w:rFonts w:ascii="Helvetica" w:cs="Helvetica" w:eastAsia="Helvetica" w:hAnsi="Helvetica"/>
          <w:color w:val="2C3036"/>
          <w:sz w:val="20"/>
          <w:szCs w:val="20"/>
        </w:rPr>
        <w:t xml:space="preserve">fastProject CP analysis run; actions in flight on top 5 critical paths</w:t>
      </w:r>
    </w:p>
    <w:p>
      <w:pPr>
        <w:pStyle w:val="ListParagraph"/>
        <w:numPr>
          <w:ilvl w:val="0"/>
          <w:numId w:val="5"/>
        </w:numPr>
        <w:spacing w:after="80"/>
      </w:pPr>
      <w:r>
        <w:rPr>
          <w:rFonts w:ascii="Helvetica" w:cs="Helvetica" w:eastAsia="Helvetica" w:hAnsi="Helvetica"/>
          <w:color w:val="2C3036"/>
          <w:sz w:val="20"/>
          <w:szCs w:val="20"/>
        </w:rPr>
        <w:t xml:space="preserve">CP2–CP4 peel-back and trend view ready</w:t>
      </w:r>
    </w:p>
    <w:p>
      <w:pPr>
        <w:pStyle w:val="ListParagraph"/>
        <w:numPr>
          <w:ilvl w:val="0"/>
          <w:numId w:val="5"/>
        </w:numPr>
        <w:spacing w:after="80"/>
      </w:pPr>
      <w:r>
        <w:rPr>
          <w:rFonts w:ascii="Helvetica" w:cs="Helvetica" w:eastAsia="Helvetica" w:hAnsi="Helvetica"/>
          <w:color w:val="2C3036"/>
          <w:sz w:val="20"/>
          <w:szCs w:val="20"/>
        </w:rPr>
        <w:t xml:space="preserve">Learning cycle estimate stated for each outstanding technical problem</w:t>
      </w:r>
    </w:p>
    <w:p>
      <w:pPr>
        <w:pStyle w:val="ListParagraph"/>
        <w:numPr>
          <w:ilvl w:val="0"/>
          <w:numId w:val="5"/>
        </w:numPr>
        <w:spacing w:after="80"/>
      </w:pPr>
      <w:r>
        <w:rPr>
          <w:rFonts w:ascii="Helvetica" w:cs="Helvetica" w:eastAsia="Helvetica" w:hAnsi="Helvetica"/>
          <w:color w:val="2C3036"/>
          <w:sz w:val="20"/>
          <w:szCs w:val="20"/>
        </w:rPr>
        <w:t xml:space="preserve">Wiggle chart current on the common milestone set (samples, qual, release)</w:t>
      </w:r>
    </w:p>
    <w:p>
      <w:pPr>
        <w:spacing w:after="0" w:before="160"/>
        <w:jc w:val="both"/>
      </w:pPr>
      <w:r>
        <w:rPr>
          <w:rFonts w:ascii="Helvetica" w:cs="Helvetica" w:eastAsia="Helvetica" w:hAnsi="Helvetica"/>
          <w:color w:val="2C3036"/>
          <w:sz w:val="20"/>
          <w:szCs w:val="20"/>
        </w:rPr>
        <w:t xml:space="preserve">This procedure document will be refined after the first round of deep-dives, based on any changes made on the fly. Documenting the process keeps it repeatable and gives us a base to improve from.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680"/>
        <w:tab w:val="right" w:pos="9360"/>
      </w:tabs>
    </w:pPr>
    <w:r>
      <w:drawing>
        <wp:inline distT="0" distB="0" distL="0" distR="0">
          <wp:extent cx="809625" cy="104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09625" cy="104775"/>
                  </a:xfrm>
                  <a:prstGeom prst="rect">
                    <a:avLst/>
                  </a:prstGeom>
                </pic:spPr>
              </pic:pic>
            </a:graphicData>
          </a:graphic>
        </wp:inline>
      </w:drawing>
    </w:r>
    <w:r>
      <w:rPr>
        <w:rFonts w:ascii="Helvetica" w:cs="Helvetica" w:eastAsia="Helvetica" w:hAnsi="Helvetica"/>
        <w:color w:val="8899AA"/>
        <w:sz w:val="15"/>
        <w:szCs w:val="15"/>
      </w:rPr>
      <w:t xml:space="preserve">	© 2026 lateralworks	</w:t>
    </w:r>
    <w:r>
      <w:rPr>
        <w:rFonts w:ascii="Helvetica" w:cs="Helvetica" w:eastAsia="Helvetica" w:hAnsi="Helvetica"/>
        <w:color w:val="8899AA"/>
        <w:sz w:val="15"/>
        <w:szCs w:val="15"/>
      </w:rPr>
      <w:t xml:space="preserve">Page </w:t>
    </w:r>
    <w:r>
      <w:rPr>
        <w:rFonts w:ascii="Helvetica" w:cs="Helvetica" w:eastAsia="Helvetica" w:hAnsi="Helvetica"/>
        <w:color w:val="8899A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abstractNum w:abstractNumId="3" w15:restartNumberingAfterBreak="0">
    <w:multiLevelType w:val="hybridMultilevel"/>
    <w:lvl w:ilvl="0" w15:tentative="1">
      <w:start w:val="1"/>
      <w:numFmt w:val="decimal"/>
      <w:lvlText w:val="%1."/>
      <w:lvlJc w:val="start"/>
      <w:pPr>
        <w:ind w:left="420" w:hanging="260"/>
      </w:pPr>
    </w:lvl>
  </w:abstractNum>
  <w:abstractNum w:abstractNumId="4" w15:restartNumberingAfterBreak="0">
    <w:multiLevelType w:val="hybridMultilevel"/>
    <w:lvl w:ilvl="0" w15:tentative="1">
      <w:start w:val="1"/>
      <w:numFmt w:val="decimal"/>
      <w:lvlText w:val="%1."/>
      <w:lvlJc w:val="start"/>
      <w:pPr>
        <w:ind w:left="420" w:hanging="260"/>
      </w:pPr>
    </w:lvl>
  </w:abstractNum>
  <w:abstractNum w:abstractNumId="5" w15:restartNumberingAfterBreak="0">
    <w:multiLevelType w:val="hybridMultilevel"/>
    <w:lvl w:ilvl="0" w15:tentative="1">
      <w:start w:val="1"/>
      <w:numFmt w:val="bullet"/>
      <w:lvlText w:val="□"/>
      <w:lvlJc w:val="start"/>
      <w:pPr>
        <w:ind w:left="360" w:hanging="2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f9be73379efc59735e786f492d78b9d1bcdb1fb1.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2026-07-31T13:56:49.363Z</dcterms:created>
  <dcterms:modified xsi:type="dcterms:W3CDTF">2026-07-31T13:56:49.363Z</dcterms:modified>
</cp:coreProperties>
</file>

<file path=docProps/custom.xml><?xml version="1.0" encoding="utf-8"?>
<Properties xmlns="http://schemas.openxmlformats.org/officeDocument/2006/custom-properties" xmlns:vt="http://schemas.openxmlformats.org/officeDocument/2006/docPropsVTypes"/>
</file>